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0" w:rsidRDefault="00DD3FE0" w:rsidP="00DD3FE0">
      <w:pPr>
        <w:spacing w:line="288" w:lineRule="auto"/>
        <w:jc w:val="center"/>
        <w:rPr>
          <w:b/>
        </w:rPr>
      </w:pPr>
      <w:r w:rsidRPr="00DD3FE0">
        <w:rPr>
          <w:b/>
        </w:rPr>
        <w:t>EKONOMSKI FAKULTET – UNIVERZITET U KRAGUJEVCU</w:t>
      </w:r>
    </w:p>
    <w:p w:rsidR="00A468AD" w:rsidRPr="0099756D" w:rsidRDefault="00A468AD" w:rsidP="00A468AD">
      <w:pPr>
        <w:jc w:val="center"/>
        <w:rPr>
          <w:b/>
          <w:lang/>
        </w:rPr>
      </w:pPr>
      <w:r w:rsidRPr="0099756D">
        <w:rPr>
          <w:b/>
          <w:lang/>
        </w:rPr>
        <w:t>STUDENTSKI PARLAMENT EKONOMSKOG FAKULTETA</w:t>
      </w:r>
    </w:p>
    <w:p w:rsidR="00A468AD" w:rsidRPr="00DD3FE0" w:rsidRDefault="00A468AD" w:rsidP="00DD3FE0">
      <w:pPr>
        <w:spacing w:line="288" w:lineRule="auto"/>
        <w:jc w:val="center"/>
        <w:rPr>
          <w:b/>
        </w:rPr>
      </w:pPr>
    </w:p>
    <w:p w:rsidR="00DD3FE0" w:rsidRPr="00DD3FE0" w:rsidRDefault="00DD3FE0" w:rsidP="00DD3FE0">
      <w:pPr>
        <w:spacing w:line="288" w:lineRule="auto"/>
        <w:jc w:val="center"/>
        <w:rPr>
          <w:b/>
        </w:rPr>
      </w:pPr>
      <w:r w:rsidRPr="00DD3FE0">
        <w:rPr>
          <w:b/>
        </w:rPr>
        <w:t>STUDENTSKA KONFERENCIJA</w:t>
      </w:r>
    </w:p>
    <w:p w:rsidR="00DD3FE0" w:rsidRPr="00DD3FE0" w:rsidRDefault="00DD3FE0" w:rsidP="00DD3FE0">
      <w:pPr>
        <w:spacing w:line="288" w:lineRule="auto"/>
        <w:jc w:val="center"/>
        <w:rPr>
          <w:b/>
        </w:rPr>
      </w:pPr>
    </w:p>
    <w:tbl>
      <w:tblPr>
        <w:tblW w:w="0" w:type="auto"/>
        <w:shd w:val="clear" w:color="auto" w:fill="D9D9D9"/>
        <w:tblLook w:val="04A0"/>
      </w:tblPr>
      <w:tblGrid>
        <w:gridCol w:w="8856"/>
      </w:tblGrid>
      <w:tr w:rsidR="00DD3FE0" w:rsidRPr="00DD3FE0" w:rsidTr="00DD3FE0">
        <w:trPr>
          <w:trHeight w:val="843"/>
        </w:trPr>
        <w:tc>
          <w:tcPr>
            <w:tcW w:w="8856" w:type="dxa"/>
            <w:shd w:val="clear" w:color="auto" w:fill="D9D9D9"/>
            <w:vAlign w:val="center"/>
          </w:tcPr>
          <w:p w:rsidR="00DD3FE0" w:rsidRPr="00DD3FE0" w:rsidRDefault="00DD3FE0" w:rsidP="00DF52D3">
            <w:pPr>
              <w:jc w:val="center"/>
              <w:rPr>
                <w:b/>
              </w:rPr>
            </w:pPr>
            <w:r w:rsidRPr="00DD3FE0">
              <w:rPr>
                <w:b/>
                <w:i/>
              </w:rPr>
              <w:t xml:space="preserve">IZAZOVI SAVREMENE EKONOMIJE I MENADŽMENTA </w:t>
            </w:r>
          </w:p>
        </w:tc>
      </w:tr>
    </w:tbl>
    <w:p w:rsidR="00DD3FE0" w:rsidRPr="00DD3FE0" w:rsidRDefault="00DD3FE0" w:rsidP="00DD3FE0">
      <w:pPr>
        <w:tabs>
          <w:tab w:val="num" w:pos="374"/>
        </w:tabs>
        <w:ind w:left="374" w:hanging="374"/>
        <w:rPr>
          <w:i/>
        </w:rPr>
      </w:pPr>
    </w:p>
    <w:p w:rsidR="00DD3FE0" w:rsidRPr="00DD3FE0" w:rsidRDefault="00DD3FE0" w:rsidP="00DD3FE0">
      <w:pPr>
        <w:jc w:val="center"/>
      </w:pPr>
      <w:r w:rsidRPr="00DD3FE0">
        <w:rPr>
          <w:b/>
          <w:i/>
        </w:rPr>
        <w:tab/>
      </w:r>
      <w:r w:rsidRPr="00DD3FE0">
        <w:t>9. novembar, 2018.</w:t>
      </w:r>
    </w:p>
    <w:p w:rsidR="00DD3FE0" w:rsidRPr="00DD3FE0" w:rsidRDefault="00DD3FE0" w:rsidP="00DD3FE0">
      <w:pPr>
        <w:jc w:val="center"/>
      </w:pPr>
      <w:r w:rsidRPr="00DD3FE0">
        <w:t>KRAGUJEVAC, SRBIJA</w:t>
      </w:r>
    </w:p>
    <w:p w:rsidR="00DD3FE0" w:rsidRPr="00DD3FE0" w:rsidRDefault="00DD3FE0" w:rsidP="00DD3FE0">
      <w:pPr>
        <w:spacing w:line="288" w:lineRule="auto"/>
        <w:jc w:val="both"/>
      </w:pPr>
    </w:p>
    <w:tbl>
      <w:tblPr>
        <w:tblW w:w="0" w:type="auto"/>
        <w:shd w:val="clear" w:color="auto" w:fill="D9D9D9"/>
        <w:tblLook w:val="04A0"/>
      </w:tblPr>
      <w:tblGrid>
        <w:gridCol w:w="8856"/>
      </w:tblGrid>
      <w:tr w:rsidR="00DD3FE0" w:rsidRPr="00DD3FE0" w:rsidTr="00DF52D3">
        <w:trPr>
          <w:trHeight w:val="397"/>
        </w:trPr>
        <w:tc>
          <w:tcPr>
            <w:tcW w:w="9821" w:type="dxa"/>
            <w:shd w:val="clear" w:color="auto" w:fill="D9D9D9"/>
            <w:vAlign w:val="center"/>
          </w:tcPr>
          <w:p w:rsidR="00DD3FE0" w:rsidRPr="00DD3FE0" w:rsidRDefault="00DD3FE0" w:rsidP="00DF52D3">
            <w:pPr>
              <w:jc w:val="center"/>
              <w:rPr>
                <w:b/>
                <w:i/>
              </w:rPr>
            </w:pPr>
            <w:r w:rsidRPr="00DD3FE0">
              <w:rPr>
                <w:b/>
                <w:i/>
              </w:rPr>
              <w:t>Uputstvo za autore</w:t>
            </w:r>
          </w:p>
        </w:tc>
      </w:tr>
    </w:tbl>
    <w:p w:rsidR="00DD3FE0" w:rsidRPr="00DD3FE0" w:rsidRDefault="00DD3FE0" w:rsidP="00DD3FE0">
      <w:pPr>
        <w:jc w:val="both"/>
      </w:pPr>
    </w:p>
    <w:p w:rsidR="00DD3FE0" w:rsidRPr="00DD3FE0" w:rsidRDefault="00DD3FE0" w:rsidP="00DD3FE0">
      <w:pPr>
        <w:spacing w:line="276" w:lineRule="auto"/>
        <w:jc w:val="both"/>
        <w:rPr>
          <w:b/>
        </w:rPr>
      </w:pPr>
      <w:r w:rsidRPr="00DD3FE0">
        <w:rPr>
          <w:b/>
        </w:rPr>
        <w:t>Prva strana – Naslov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 xml:space="preserve">Sve margine na strani podesiti na 2,5 cm. Naslov napisati velikim slovima, fontom </w:t>
      </w:r>
      <w:r w:rsidRPr="00DD3FE0">
        <w:rPr>
          <w:i/>
        </w:rPr>
        <w:t>Times New Roman</w:t>
      </w:r>
      <w:r w:rsidRPr="00DD3FE0">
        <w:t xml:space="preserve"> 12pt, boldirati i centrirati. Naslov ne sme biti duži od dva reda. Imena autora (institucija, e-mail) napisati ispod naslova, fontom </w:t>
      </w:r>
      <w:r w:rsidRPr="00DD3FE0">
        <w:rPr>
          <w:i/>
        </w:rPr>
        <w:t>Times New Roman</w:t>
      </w:r>
      <w:r w:rsidRPr="00DD3FE0">
        <w:t xml:space="preserve"> 11pt. Pored imena autora koji je određen za korespondenciju, dodati informacije o kontaktu (uključujući email adresu i broj telefona). </w:t>
      </w:r>
    </w:p>
    <w:p w:rsidR="00DD3FE0" w:rsidRPr="00DD3FE0" w:rsidRDefault="00DD3FE0" w:rsidP="00DD3FE0">
      <w:pPr>
        <w:spacing w:line="276" w:lineRule="auto"/>
        <w:jc w:val="both"/>
      </w:pPr>
    </w:p>
    <w:p w:rsidR="00DD3FE0" w:rsidRPr="00DD3FE0" w:rsidRDefault="00DD3FE0" w:rsidP="00DD3FE0">
      <w:pPr>
        <w:spacing w:line="276" w:lineRule="auto"/>
        <w:jc w:val="both"/>
        <w:rPr>
          <w:b/>
        </w:rPr>
      </w:pPr>
      <w:r w:rsidRPr="00DD3FE0">
        <w:rPr>
          <w:b/>
        </w:rPr>
        <w:t>Apstrakt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 xml:space="preserve">Apstrakt napisati koristeći </w:t>
      </w:r>
      <w:r w:rsidRPr="00DD3FE0">
        <w:rPr>
          <w:i/>
        </w:rPr>
        <w:t>singl</w:t>
      </w:r>
      <w:r w:rsidRPr="00DD3FE0">
        <w:t xml:space="preserve"> prored i font Times New Roman 11pt, </w:t>
      </w:r>
      <w:r w:rsidRPr="00DD3FE0">
        <w:rPr>
          <w:i/>
        </w:rPr>
        <w:t>italic</w:t>
      </w:r>
      <w:r w:rsidRPr="00DD3FE0">
        <w:t>. Apstrakt treba biti dužine od 250 do 350 reči. Ključne reči napisati ispod apstrakta i odvojiti ih jednim razmakom. Treba koristiti maksimum 5 ključnih reči. JEL klasifikaciju navesti ispod ključnih reči.</w:t>
      </w:r>
    </w:p>
    <w:p w:rsidR="00DD3FE0" w:rsidRPr="00DD3FE0" w:rsidRDefault="00DD3FE0" w:rsidP="00DD3FE0">
      <w:pPr>
        <w:spacing w:line="276" w:lineRule="auto"/>
        <w:jc w:val="both"/>
      </w:pPr>
    </w:p>
    <w:p w:rsidR="00DD3FE0" w:rsidRPr="00DD3FE0" w:rsidRDefault="00DD3FE0" w:rsidP="00DD3FE0">
      <w:pPr>
        <w:spacing w:line="276" w:lineRule="auto"/>
        <w:jc w:val="both"/>
        <w:rPr>
          <w:b/>
        </w:rPr>
      </w:pPr>
      <w:r w:rsidRPr="00DD3FE0">
        <w:rPr>
          <w:b/>
        </w:rPr>
        <w:t>Druga strana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 xml:space="preserve">Rad treba početi na drugoj strani. Koristiti </w:t>
      </w:r>
      <w:r w:rsidRPr="00DD3FE0">
        <w:rPr>
          <w:i/>
        </w:rPr>
        <w:t>Microsoft Office Word</w:t>
      </w:r>
      <w:r w:rsidRPr="00DD3FE0">
        <w:t xml:space="preserve"> format. Format strane je A4, a tekst treba da bude potpuno poravnat (</w:t>
      </w:r>
      <w:r w:rsidRPr="00DD3FE0">
        <w:rPr>
          <w:i/>
        </w:rPr>
        <w:t>fully justified</w:t>
      </w:r>
      <w:r w:rsidRPr="00DD3FE0">
        <w:t>). Sve margine na strani treba da budu podešene na 2,5 cm. Prored rada treba da bude jedan red (</w:t>
      </w:r>
      <w:r w:rsidRPr="00DD3FE0">
        <w:rPr>
          <w:i/>
        </w:rPr>
        <w:t>singl spacing)</w:t>
      </w:r>
      <w:r w:rsidRPr="00DD3FE0">
        <w:t xml:space="preserve">, a font </w:t>
      </w:r>
      <w:r w:rsidRPr="00DD3FE0">
        <w:rPr>
          <w:i/>
        </w:rPr>
        <w:t>Times New Roman</w:t>
      </w:r>
      <w:r w:rsidRPr="00DD3FE0">
        <w:t xml:space="preserve"> 12 pt. Podnaslove treba pisati velikim slovima, fontom </w:t>
      </w:r>
      <w:r w:rsidRPr="00DD3FE0">
        <w:rPr>
          <w:i/>
        </w:rPr>
        <w:t>Times New Roman</w:t>
      </w:r>
      <w:r w:rsidRPr="00DD3FE0">
        <w:t xml:space="preserve"> 12 pt, boldirano. Dužina rada treba biti od 5 do 10 strana uključujući apstrakt, slike, tabele, reference i priloge.</w:t>
      </w:r>
    </w:p>
    <w:p w:rsidR="00DD3FE0" w:rsidRPr="00DD3FE0" w:rsidRDefault="00DD3FE0" w:rsidP="00DD3FE0">
      <w:pPr>
        <w:spacing w:line="276" w:lineRule="auto"/>
        <w:jc w:val="both"/>
      </w:pPr>
    </w:p>
    <w:p w:rsidR="00DD3FE0" w:rsidRPr="00DD3FE0" w:rsidRDefault="00DD3FE0" w:rsidP="00DD3FE0">
      <w:pPr>
        <w:spacing w:line="276" w:lineRule="auto"/>
        <w:jc w:val="both"/>
        <w:rPr>
          <w:b/>
        </w:rPr>
      </w:pPr>
      <w:r w:rsidRPr="00DD3FE0">
        <w:rPr>
          <w:b/>
        </w:rPr>
        <w:t>Stil navođenja referenci</w:t>
      </w: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Izvori treba da budu navedeni abecednim redom prema prezimenu autora/urednika, sa kompletnim bibliografskim podacima</w:t>
      </w: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Drugi red svake reference treba biti uvučen 1,5 cm (</w:t>
      </w:r>
      <w:r w:rsidRPr="00DD3FE0">
        <w:rPr>
          <w:rFonts w:ascii="Times New Roman" w:hAnsi="Times New Roman" w:cs="Times New Roman"/>
          <w:i/>
          <w:sz w:val="24"/>
          <w:szCs w:val="24"/>
        </w:rPr>
        <w:t>special, hanging</w:t>
      </w:r>
      <w:r w:rsidRPr="00DD3FE0">
        <w:rPr>
          <w:rFonts w:ascii="Times New Roman" w:hAnsi="Times New Roman" w:cs="Times New Roman"/>
          <w:sz w:val="24"/>
          <w:szCs w:val="24"/>
        </w:rPr>
        <w:t>)</w:t>
      </w: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 xml:space="preserve">Naslove knjiga i časopisa pisati </w:t>
      </w:r>
      <w:r w:rsidRPr="00DD3FE0">
        <w:rPr>
          <w:rFonts w:ascii="Times New Roman" w:hAnsi="Times New Roman" w:cs="Times New Roman"/>
          <w:i/>
          <w:sz w:val="24"/>
          <w:szCs w:val="24"/>
        </w:rPr>
        <w:t xml:space="preserve">italic </w:t>
      </w:r>
      <w:r w:rsidRPr="00DD3FE0">
        <w:rPr>
          <w:rFonts w:ascii="Times New Roman" w:hAnsi="Times New Roman" w:cs="Times New Roman"/>
          <w:sz w:val="24"/>
          <w:szCs w:val="24"/>
        </w:rPr>
        <w:t>slovima</w:t>
      </w: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Naslove članaka u knjigama i časopisima pisati normalnim fontom</w:t>
      </w: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lastRenderedPageBreak/>
        <w:t>Za članke u zbornicima i časopisima je potrebno navođenje strana</w:t>
      </w: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Internet izvori treba da budu navedeni sa kompletnim bibliografskim podacima, uključujući i datum pristupanja sajtu</w:t>
      </w:r>
    </w:p>
    <w:p w:rsidR="00DD3FE0" w:rsidRDefault="00DD3FE0" w:rsidP="00DD3FE0">
      <w:pPr>
        <w:pStyle w:val="Tekst"/>
        <w:numPr>
          <w:ilvl w:val="0"/>
          <w:numId w:val="6"/>
        </w:numPr>
        <w:spacing w:line="276" w:lineRule="auto"/>
      </w:pPr>
      <w:r w:rsidRPr="00DD3FE0">
        <w:t>Prilikom navođenja izvora u tekstu, u zagradi navesti samo preuzime ili prezimena autora i godinu izdanja (npr. Bachman, 1991; Marković i Antić, 2005</w:t>
      </w:r>
      <w:r>
        <w:t>)</w:t>
      </w:r>
    </w:p>
    <w:p w:rsidR="00DD3FE0" w:rsidRPr="00DD3FE0" w:rsidRDefault="00DD3FE0" w:rsidP="00DD3FE0">
      <w:pPr>
        <w:pStyle w:val="Tekst"/>
        <w:spacing w:line="276" w:lineRule="auto"/>
        <w:ind w:left="720"/>
      </w:pPr>
    </w:p>
    <w:p w:rsidR="00DD3FE0" w:rsidRPr="00DD3FE0" w:rsidRDefault="00DD3FE0" w:rsidP="00DD3F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Za knjige sa više od tri autora u tekstu treba navesti prezime prvog autora i skraćenicu et al. (na pr. Quirk et al. 1985).</w:t>
      </w:r>
    </w:p>
    <w:p w:rsidR="00DD3FE0" w:rsidRPr="00DD3FE0" w:rsidRDefault="00DD3FE0" w:rsidP="00DD3FE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D3FE0" w:rsidRPr="00DD3FE0" w:rsidRDefault="00DD3FE0" w:rsidP="00DD3FE0">
      <w:pPr>
        <w:spacing w:line="276" w:lineRule="auto"/>
        <w:jc w:val="both"/>
        <w:rPr>
          <w:b/>
          <w:i/>
        </w:rPr>
      </w:pPr>
      <w:r w:rsidRPr="00DD3FE0">
        <w:rPr>
          <w:b/>
          <w:i/>
        </w:rPr>
        <w:t>Primer referenci: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>KNJIGE</w:t>
      </w:r>
    </w:p>
    <w:p w:rsidR="00DD3FE0" w:rsidRPr="00DD3FE0" w:rsidRDefault="00DD3FE0" w:rsidP="00DD3F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jedan autor: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ind w:left="851" w:hanging="851"/>
        <w:jc w:val="both"/>
      </w:pPr>
      <w:r w:rsidRPr="00DD3FE0">
        <w:t xml:space="preserve">Sweetser, E. (1990). </w:t>
      </w:r>
      <w:r w:rsidRPr="00DD3FE0">
        <w:rPr>
          <w:i/>
          <w:iCs/>
        </w:rPr>
        <w:t xml:space="preserve">From Etymology to Pragmatics: Metaphorical and Cultural Aspects of Semantic Structure. </w:t>
      </w:r>
      <w:r w:rsidRPr="00DD3FE0">
        <w:t>Cambridge: Cambridge University Press.</w:t>
      </w:r>
    </w:p>
    <w:p w:rsidR="00DD3FE0" w:rsidRPr="00DD3FE0" w:rsidRDefault="00DD3FE0" w:rsidP="00DD3FE0">
      <w:pPr>
        <w:spacing w:line="276" w:lineRule="auto"/>
        <w:jc w:val="both"/>
      </w:pPr>
    </w:p>
    <w:p w:rsidR="00DD3FE0" w:rsidRPr="00DD3FE0" w:rsidRDefault="00DD3FE0" w:rsidP="00DD3F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više od jednog autora: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 xml:space="preserve">Lakoff, G. &amp; Johnson, M. (1980). </w:t>
      </w:r>
      <w:r w:rsidRPr="00DD3FE0">
        <w:rPr>
          <w:i/>
          <w:iCs/>
        </w:rPr>
        <w:t xml:space="preserve">Metaphors We Live By. </w:t>
      </w:r>
      <w:r w:rsidRPr="00DD3FE0">
        <w:t>Chicago: University of Chicago Press.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ind w:left="851" w:hanging="851"/>
        <w:jc w:val="both"/>
      </w:pPr>
      <w:r w:rsidRPr="00DD3FE0">
        <w:t xml:space="preserve">Quirk, R., Greenbaum, S., Leech, G., &amp; Svartvik, J. (1985). </w:t>
      </w:r>
      <w:r w:rsidRPr="00DD3FE0">
        <w:rPr>
          <w:i/>
          <w:iCs/>
        </w:rPr>
        <w:t xml:space="preserve">A Comprehensive Grammar of the English Language. </w:t>
      </w:r>
      <w:r w:rsidRPr="00DD3FE0">
        <w:t>London and New York: Longman.</w:t>
      </w:r>
    </w:p>
    <w:p w:rsidR="00DD3FE0" w:rsidRPr="00DD3FE0" w:rsidRDefault="00DD3FE0" w:rsidP="00DD3FE0">
      <w:pPr>
        <w:spacing w:line="276" w:lineRule="auto"/>
        <w:jc w:val="both"/>
      </w:pPr>
    </w:p>
    <w:p w:rsidR="00DD3FE0" w:rsidRPr="00DD3FE0" w:rsidRDefault="00DD3FE0" w:rsidP="00DD3F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jedan urednik: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 xml:space="preserve">Greenberg, J. H. (ed.) (1978). </w:t>
      </w:r>
      <w:r w:rsidRPr="00DD3FE0">
        <w:rPr>
          <w:i/>
          <w:iCs/>
        </w:rPr>
        <w:t>Universals of Language</w:t>
      </w:r>
      <w:r w:rsidRPr="00DD3FE0">
        <w:t>. Cambridge, Mass.: The MIT Press.</w:t>
      </w:r>
    </w:p>
    <w:p w:rsidR="00DD3FE0" w:rsidRPr="00DD3FE0" w:rsidRDefault="00DD3FE0" w:rsidP="00DD3F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više od jednog urednika:</w:t>
      </w:r>
    </w:p>
    <w:p w:rsidR="00DD3FE0" w:rsidRPr="00DD3FE0" w:rsidRDefault="00DD3FE0" w:rsidP="00DD3FE0">
      <w:pPr>
        <w:spacing w:line="276" w:lineRule="auto"/>
        <w:jc w:val="both"/>
      </w:pPr>
      <w:r w:rsidRPr="00DD3FE0">
        <w:t xml:space="preserve">Gibbs, R. W. &amp; Steen, G. (eds.) (1999). </w:t>
      </w:r>
      <w:r w:rsidRPr="00DD3FE0">
        <w:rPr>
          <w:i/>
          <w:iCs/>
        </w:rPr>
        <w:t xml:space="preserve">Metaphor in Cognitive Linguistics. </w:t>
      </w:r>
      <w:r w:rsidRPr="00DD3FE0">
        <w:t>Amsterdam: John Benjamins.</w:t>
      </w:r>
    </w:p>
    <w:p w:rsidR="00DD3FE0" w:rsidRPr="00DD3FE0" w:rsidRDefault="00DD3FE0" w:rsidP="00DD3FE0">
      <w:pPr>
        <w:spacing w:line="276" w:lineRule="auto"/>
        <w:jc w:val="both"/>
      </w:pPr>
    </w:p>
    <w:p w:rsidR="00DD3FE0" w:rsidRPr="00DD3FE0" w:rsidRDefault="00DD3FE0" w:rsidP="00DD3FE0">
      <w:pPr>
        <w:spacing w:line="276" w:lineRule="auto"/>
        <w:jc w:val="both"/>
      </w:pPr>
      <w:r w:rsidRPr="00DD3FE0">
        <w:t>RADNI PAPIRI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ind w:left="851" w:hanging="851"/>
        <w:jc w:val="both"/>
      </w:pPr>
      <w:r w:rsidRPr="00DD3FE0">
        <w:t xml:space="preserve">Chami, R., Fullenkamp C., &amp; Jahjah, S. (2003). </w:t>
      </w:r>
      <w:r w:rsidRPr="00DD3FE0">
        <w:rPr>
          <w:i/>
          <w:iCs/>
        </w:rPr>
        <w:t xml:space="preserve">Are Immigrant Remittance Flows a Source of Capital for Development? </w:t>
      </w:r>
      <w:r w:rsidRPr="00DD3FE0">
        <w:t>(IMF Working Paper WP/03/189), Washington D.C.: International Monetary Fund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  <w:r w:rsidRPr="00DD3FE0">
        <w:t>ČLANCI</w:t>
      </w:r>
    </w:p>
    <w:p w:rsidR="00DD3FE0" w:rsidRPr="00DD3FE0" w:rsidRDefault="00DD3FE0" w:rsidP="00DD3F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>u časopisima: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  <w:r w:rsidRPr="00DD3FE0">
        <w:t xml:space="preserve">Wilson, D. &amp; Sperber, D. (1993). Linguistic Form and Relevance. </w:t>
      </w:r>
      <w:r w:rsidRPr="00DD3FE0">
        <w:rPr>
          <w:i/>
          <w:iCs/>
        </w:rPr>
        <w:t xml:space="preserve">Lingua, </w:t>
      </w:r>
      <w:r w:rsidRPr="00DD3FE0">
        <w:t>90, 1–25.</w:t>
      </w:r>
    </w:p>
    <w:p w:rsid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3FE0">
        <w:rPr>
          <w:rFonts w:ascii="Times New Roman" w:hAnsi="Times New Roman" w:cs="Times New Roman"/>
          <w:iCs/>
          <w:sz w:val="24"/>
          <w:szCs w:val="24"/>
        </w:rPr>
        <w:t>u monografijama: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ind w:left="851" w:hanging="851"/>
        <w:jc w:val="both"/>
      </w:pPr>
      <w:r w:rsidRPr="00DD3FE0">
        <w:t xml:space="preserve">Slobin, D. I. (1997). Mind, Code, and Text. In: </w:t>
      </w:r>
      <w:r w:rsidRPr="00DD3FE0">
        <w:rPr>
          <w:i/>
          <w:iCs/>
        </w:rPr>
        <w:t xml:space="preserve">Essays on Language Function and Language Type </w:t>
      </w:r>
      <w:r w:rsidRPr="00DD3FE0">
        <w:t>(J. Bybee et al., eds.), Amsterdam/Philadelphia: John Benjamins, 437–467.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  <w:r w:rsidRPr="00DD3FE0">
        <w:t>INTERNET IZVORI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E0">
        <w:rPr>
          <w:rFonts w:ascii="Times New Roman" w:hAnsi="Times New Roman" w:cs="Times New Roman"/>
          <w:sz w:val="24"/>
          <w:szCs w:val="24"/>
        </w:rPr>
        <w:t xml:space="preserve">članak iz </w:t>
      </w:r>
      <w:r w:rsidRPr="00DD3FE0">
        <w:rPr>
          <w:rFonts w:ascii="Times New Roman" w:hAnsi="Times New Roman" w:cs="Times New Roman"/>
          <w:i/>
          <w:sz w:val="24"/>
          <w:szCs w:val="24"/>
        </w:rPr>
        <w:t>online</w:t>
      </w:r>
      <w:r w:rsidRPr="00DD3FE0">
        <w:rPr>
          <w:rFonts w:ascii="Times New Roman" w:hAnsi="Times New Roman" w:cs="Times New Roman"/>
          <w:sz w:val="24"/>
          <w:szCs w:val="24"/>
        </w:rPr>
        <w:t xml:space="preserve"> baze podataka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i/>
          <w:iCs/>
        </w:rPr>
      </w:pPr>
      <w:r w:rsidRPr="00DD3FE0">
        <w:t xml:space="preserve">Voss, P. J. (1998). Debris from Heaven in Paradise Lost. </w:t>
      </w:r>
      <w:r w:rsidRPr="00DD3FE0">
        <w:rPr>
          <w:i/>
          <w:iCs/>
        </w:rPr>
        <w:t xml:space="preserve">English Language Notes, </w:t>
      </w:r>
      <w:r w:rsidRPr="00DD3FE0">
        <w:t xml:space="preserve">35.3, 37-41. </w:t>
      </w:r>
      <w:r w:rsidRPr="00DD3FE0">
        <w:rPr>
          <w:i/>
          <w:iCs/>
        </w:rPr>
        <w:t xml:space="preserve">Academic Search Premier. </w:t>
      </w:r>
      <w:r w:rsidRPr="00DD3FE0">
        <w:t>EBSCOhost. GALILEO. (10 June 2008) &lt;http://www.galileo.usg.edu&gt;.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FE0">
        <w:rPr>
          <w:rFonts w:ascii="Times New Roman" w:hAnsi="Times New Roman" w:cs="Times New Roman"/>
          <w:i/>
          <w:iCs/>
          <w:sz w:val="24"/>
          <w:szCs w:val="24"/>
        </w:rPr>
        <w:t>Entire Web site: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  <w:r w:rsidRPr="00DD3FE0">
        <w:rPr>
          <w:i/>
          <w:iCs/>
        </w:rPr>
        <w:t xml:space="preserve">Electronic Poetry Center. </w:t>
      </w:r>
      <w:r w:rsidRPr="00DD3FE0">
        <w:t>2003. SUNY Buffalo. (10 June 2008) &lt;http://epc.buffalo.edu&gt;.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D3FE0">
        <w:rPr>
          <w:b/>
        </w:rPr>
        <w:t>Tabele i slike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  <w:r w:rsidRPr="00DD3FE0">
        <w:t xml:space="preserve">Slike se mogu raditi samo u sledećim formatima: TIFF, GIF, JPG, PDF i CDR. Rezolucija treba biti preko 300 dpi. Tabele i grafici se mogu raditi samo u sledećim formatima: Word, Excel, Corel, Visio i SPSS. Tabele i slike treba da budu centrirane i obeležene odgovarajućim brojem (prema redosledu pojavljivanja) uključujući naslov koji ih opisuje. Za tabele, naslov pisati iznad tabele. Za slike, naslov pisati ispod slike. 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center"/>
        <w:rPr>
          <w:i/>
          <w:iCs/>
        </w:rPr>
      </w:pPr>
      <w:r w:rsidRPr="00DD3FE0">
        <w:t xml:space="preserve">Table 1. </w:t>
      </w:r>
      <w:r w:rsidRPr="00DD3FE0">
        <w:rPr>
          <w:i/>
          <w:iCs/>
        </w:rPr>
        <w:t xml:space="preserve">Indeks ekonomskog nagiba u odnosu na ukupni tržišni portfolio </w:t>
      </w:r>
    </w:p>
    <w:tbl>
      <w:tblPr>
        <w:tblStyle w:val="TableGrid"/>
        <w:tblW w:w="0" w:type="auto"/>
        <w:tblLook w:val="04A0"/>
      </w:tblPr>
      <w:tblGrid>
        <w:gridCol w:w="2718"/>
        <w:gridCol w:w="2047"/>
        <w:gridCol w:w="2047"/>
        <w:gridCol w:w="2044"/>
      </w:tblGrid>
      <w:tr w:rsidR="00DD3FE0" w:rsidRPr="00DD3FE0" w:rsidTr="00DF52D3">
        <w:tc>
          <w:tcPr>
            <w:tcW w:w="2832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Portfolio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1980s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1990s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2000s</w:t>
            </w:r>
          </w:p>
        </w:tc>
      </w:tr>
      <w:tr w:rsidR="00DD3FE0" w:rsidRPr="00DD3FE0" w:rsidTr="00DF52D3">
        <w:tc>
          <w:tcPr>
            <w:tcW w:w="2832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Wilshire 5000 Index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16.6%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17.6%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0.2%</w:t>
            </w:r>
          </w:p>
        </w:tc>
      </w:tr>
      <w:tr w:rsidR="00DD3FE0" w:rsidRPr="00DD3FE0" w:rsidTr="00DF52D3">
        <w:tc>
          <w:tcPr>
            <w:tcW w:w="2832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Economic Tilt Index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16.9%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15.5%</w:t>
            </w:r>
          </w:p>
        </w:tc>
        <w:tc>
          <w:tcPr>
            <w:tcW w:w="2137" w:type="dxa"/>
          </w:tcPr>
          <w:p w:rsidR="00DD3FE0" w:rsidRPr="00DD3FE0" w:rsidRDefault="00DD3FE0" w:rsidP="00DD3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D3FE0">
              <w:rPr>
                <w:sz w:val="24"/>
                <w:szCs w:val="24"/>
              </w:rPr>
              <w:t>3.3%</w:t>
            </w:r>
          </w:p>
        </w:tc>
      </w:tr>
    </w:tbl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center"/>
      </w:pPr>
      <w:r w:rsidRPr="00DD3FE0">
        <w:rPr>
          <w:i/>
          <w:iCs/>
        </w:rPr>
        <w:t xml:space="preserve">Source: </w:t>
      </w:r>
      <w:r w:rsidRPr="00DD3FE0">
        <w:t xml:space="preserve">Nichol, W. (2009). The Economic Tilt Index, </w:t>
      </w:r>
      <w:r w:rsidRPr="00DD3FE0">
        <w:rPr>
          <w:i/>
          <w:iCs/>
        </w:rPr>
        <w:t>The Journal of Economic</w:t>
      </w:r>
      <w:r w:rsidRPr="00DD3FE0">
        <w:t>, 9(5): 23.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both"/>
      </w:pP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center"/>
      </w:pPr>
      <w:r w:rsidRPr="00DD3FE0">
        <w:rPr>
          <w:noProof/>
        </w:rPr>
        <w:drawing>
          <wp:inline distT="0" distB="0" distL="0" distR="0">
            <wp:extent cx="2275205" cy="12877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center"/>
        <w:rPr>
          <w:i/>
          <w:iCs/>
        </w:rPr>
      </w:pPr>
      <w:r w:rsidRPr="00DD3FE0">
        <w:t xml:space="preserve">Figure 1: </w:t>
      </w:r>
      <w:r w:rsidRPr="00DD3FE0">
        <w:rPr>
          <w:i/>
          <w:iCs/>
        </w:rPr>
        <w:t>GDP per capita (USD)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center"/>
        <w:rPr>
          <w:i/>
          <w:iCs/>
        </w:rPr>
      </w:pPr>
      <w:r w:rsidRPr="00DD3FE0">
        <w:rPr>
          <w:i/>
          <w:iCs/>
        </w:rPr>
        <w:t xml:space="preserve">Source: </w:t>
      </w:r>
      <w:r w:rsidRPr="00DD3FE0">
        <w:t xml:space="preserve">Chami, R., Fullenkamp C., &amp; Jahjah, S. (2003). </w:t>
      </w:r>
      <w:r w:rsidRPr="00DD3FE0">
        <w:rPr>
          <w:i/>
          <w:iCs/>
        </w:rPr>
        <w:t>Are Immigrant Remittance Flows a Source of Capital for Development?</w:t>
      </w:r>
    </w:p>
    <w:p w:rsidR="00DD3FE0" w:rsidRPr="00DD3FE0" w:rsidRDefault="00DD3FE0" w:rsidP="00DD3FE0">
      <w:pPr>
        <w:autoSpaceDE w:val="0"/>
        <w:autoSpaceDN w:val="0"/>
        <w:adjustRightInd w:val="0"/>
        <w:spacing w:line="276" w:lineRule="auto"/>
        <w:jc w:val="center"/>
      </w:pPr>
      <w:r w:rsidRPr="00DD3FE0">
        <w:t>(IMF Working Paper WP/03/189), Washington D.C.: International Monetary Fund</w:t>
      </w:r>
    </w:p>
    <w:sectPr w:rsidR="00DD3FE0" w:rsidRPr="00DD3FE0" w:rsidSect="00DD3FE0">
      <w:pgSz w:w="12240" w:h="15840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3A7"/>
    <w:multiLevelType w:val="hybridMultilevel"/>
    <w:tmpl w:val="B19ADA46"/>
    <w:lvl w:ilvl="0" w:tplc="0212A516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cs="Times New Roman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1">
    <w:nsid w:val="20C314A3"/>
    <w:multiLevelType w:val="hybridMultilevel"/>
    <w:tmpl w:val="CBF2A74A"/>
    <w:lvl w:ilvl="0" w:tplc="0212A516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cs="Times New Roman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>
    <w:nsid w:val="5FDD7EB4"/>
    <w:multiLevelType w:val="hybridMultilevel"/>
    <w:tmpl w:val="39FA8516"/>
    <w:lvl w:ilvl="0" w:tplc="B9A8DC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F41FB"/>
    <w:multiLevelType w:val="hybridMultilevel"/>
    <w:tmpl w:val="1B063E08"/>
    <w:lvl w:ilvl="0" w:tplc="B9A8DC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61E3E"/>
    <w:multiLevelType w:val="hybridMultilevel"/>
    <w:tmpl w:val="31F4B02E"/>
    <w:lvl w:ilvl="0" w:tplc="FC2A6A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3562D"/>
    <w:multiLevelType w:val="hybridMultilevel"/>
    <w:tmpl w:val="DDDA71C4"/>
    <w:lvl w:ilvl="0" w:tplc="4D6442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3FE0"/>
    <w:rsid w:val="003F4438"/>
    <w:rsid w:val="00403D89"/>
    <w:rsid w:val="004111A0"/>
    <w:rsid w:val="004B284E"/>
    <w:rsid w:val="00686584"/>
    <w:rsid w:val="00892B2F"/>
    <w:rsid w:val="00A468AD"/>
    <w:rsid w:val="00AF5631"/>
    <w:rsid w:val="00CA7CB6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3FE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3FE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E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ekst">
    <w:name w:val="Tekst"/>
    <w:basedOn w:val="Normal"/>
    <w:rsid w:val="00DD3FE0"/>
    <w:pPr>
      <w:jc w:val="both"/>
    </w:pPr>
    <w:rPr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Savovic</dc:creator>
  <cp:lastModifiedBy>Sladjana Savovic</cp:lastModifiedBy>
  <cp:revision>8</cp:revision>
  <dcterms:created xsi:type="dcterms:W3CDTF">2018-04-11T06:34:00Z</dcterms:created>
  <dcterms:modified xsi:type="dcterms:W3CDTF">2018-04-19T10:15:00Z</dcterms:modified>
</cp:coreProperties>
</file>